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Stoning the Devil</w:t>
      </w:r>
    </w:p>
    <w:p>
      <w:pPr/>
      <w:r>
        <w:t>During the Hajj, when it was time to cast stones at the devil, one pilgrim began striking himself with the stone instead. A young man nearby asked in surprise:</w:t>
      </w:r>
    </w:p>
    <w:p>
      <w:pPr>
        <w:spacing w:after="80"/>
      </w:pPr>
      <w:r>
        <w:t>“Uncle, why are you hitting yourself with that stone?”</w:t>
      </w:r>
    </w:p>
    <w:p>
      <w:pPr>
        <w:spacing w:after="80"/>
      </w:pPr>
      <w:r>
        <w:t>The man replied:</w:t>
      </w:r>
    </w:p>
    <w:p>
      <w:pPr>
        <w:keepNext/>
      </w:pPr>
      <w:r>
        <w:t>“My son, what business do we have with the devil here? First we must stone the devil within ourselves—discipline our nafs and cleanse ourselves.”</w:t>
      </w:r>
    </w:p>
    <w:p>
      <w:pPr>
        <w:keepNext/>
        <w:keepLines/>
        <w:spacing w:before="160"/>
      </w:pPr>
      <w:r>
        <w:rPr>
          <w:b/>
        </w:rPr>
        <w:t>Moral: The real struggle is not against the devil outside us, but against one's own uncontrolled desires. Purifying oneself is harder than condemning others, but far more valuable.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Stoning the Devil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