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Strength and Sorrow</w:t>
      </w:r>
    </w:p>
    <w:p>
      <w:pPr>
        <w:spacing w:after="80"/>
      </w:pPr>
      <w:r>
        <w:t>My God, give me strength enough for my sorrow, or sorrow no greater than I can bear.</w:t>
      </w:r>
    </w:p>
    <w:p>
      <w:pPr>
        <w:keepNext/>
        <w:spacing w:after="80"/>
      </w:pPr>
      <w:r>
        <w:t>Muhammad Fuzuli</w:t>
      </w:r>
    </w:p>
    <w:p>
      <w:pPr>
        <w:keepNext/>
        <w:keepLines/>
        <w:spacing w:before="160" w:after="80"/>
      </w:pPr>
      <w:r>
        <w:rPr>
          <w:b/>
        </w:rPr>
        <w:t>Moral: A person asks either for strength to bear the sorrow, or for sorrow no greater than that strength can carry. Do not take on a burden heavier than you can bear.</w:t>
      </w:r>
      <w:r/>
    </w:p>
    <w:p>
      <w:pPr>
        <w:spacing w:after="80"/>
      </w:pPr>
      <w:r>
        <w:rPr>
          <w:i/>
          <w:sz w:val="18"/>
        </w:rPr>
        <w:t>Stories are taken from open Internet sources; illustrations were created with AI.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Strength and Pain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