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Three Things a City Needs</w:t>
      </w:r>
    </w:p>
    <w:p>
      <w:pPr/>
      <w:r>
        <w:t>Every city needs sewers, bathhouses, and libraries. Sewers cleanse the city, bathhouses cleanse the body, and libraries cleanse the soul.</w:t>
      </w:r>
    </w:p>
    <w:p>
      <w:pPr>
        <w:keepNext/>
        <w:spacing w:after="80"/>
      </w:pPr>
      <w:r>
        <w:t>Fatih Sultan Mehmet</w:t>
      </w:r>
    </w:p>
    <w:p>
      <w:pPr>
        <w:keepNext/>
        <w:keepLines/>
        <w:spacing w:before="160" w:after="80"/>
      </w:pPr>
      <w:r>
        <w:rPr>
          <w:b/>
        </w:rPr>
        <w:t>Moral: One must care for the cleanliness of the soul as well as of the city and the body. The library is a place that cleanses the soul.</w:t>
      </w:r>
      <w:r/>
    </w:p>
    <w:p>
      <w:pPr>
        <w:spacing w:after="80"/>
      </w:pPr>
      <w:r>
        <w:rPr>
          <w:i/>
          <w:sz w:val="18"/>
        </w:rPr>
        <w:t>Stories are taken from open Internet sources; illustrations were created with AI.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Three Things a City Needs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