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Being Alone</w:t>
      </w:r>
    </w:p>
    <w:p>
      <w:pPr>
        <w:spacing w:after="80"/>
      </w:pPr>
      <w:r>
        <w:t>I had gone to visit an acquaintance. I entered his house and went into his room. I found him sitting silently with his head bowed. He looked sorrowful.</w:t>
      </w:r>
    </w:p>
    <w:p>
      <w:pPr>
        <w:spacing w:after="80"/>
      </w:pPr>
      <w:r>
        <w:t>“Are you sad?” I asked.</w:t>
      </w:r>
    </w:p>
    <w:p>
      <w:pPr>
        <w:keepNext/>
        <w:spacing w:after="80"/>
      </w:pPr>
      <w:r>
        <w:t>He raised his head and looked into my eyes. “No. I’m lonely.”</w:t>
      </w:r>
    </w:p>
    <w:p>
      <w:pPr>
        <w:keepNext/>
        <w:keepLines/>
        <w:spacing w:before="160"/>
      </w:pPr>
      <w:r>
        <w:rPr>
          <w:b/>
        </w:rPr>
        <w:t>Moral: The biggest pain is to feel lonely even among people. Seeing the loneliness of someone next to you is true sensitivity.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Loneliness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