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and Knowing</w:t>
      </w:r>
    </w:p>
    <w:p>
      <w:pPr>
        <w:spacing w:after="80"/>
      </w:pPr>
      <w:r>
        <w:t>For some, we can only say this:</w:t>
      </w:r>
    </w:p>
    <w:p>
      <w:pPr>
        <w:keepNext/>
        <w:spacing w:after="80"/>
      </w:pPr>
      <w:r>
        <w:t>We were happy to meet them; we were sad to discover who they were.</w:t>
      </w:r>
    </w:p>
    <w:p>
      <w:pPr>
        <w:keepNext/>
        <w:keepLines/>
        <w:spacing w:before="160"/>
      </w:pPr>
      <w:r>
        <w:rPr>
          <w:b/>
        </w:rPr>
        <w:t>Moral: Becoming acquainted can gladden you, but knowing a person closely sometimes disappoints you. Seeing everyone as they are is not easy.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and Knowing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