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Weeds</w:t>
      </w:r>
    </w:p>
    <w:p>
      <w:pPr/>
      <w:r>
        <w:t>When we were schoolchildren, we spent the summer holidays with our family in our garden. My late father wanted to accustom us to hard work, so he left us chores while he went to work. We watered the melons he had planted. We carried drinking water from the well in our neighbor Uncle Aghasalim’s garden, since our own well water was unsuitable.</w:t>
      </w:r>
    </w:p>
    <w:p>
      <w:pPr>
        <w:keepNext/>
      </w:pPr>
      <w:r>
        <w:t>We learned to turn the soil and clear the weeds, but they were not so easy to clear. One day, Father explained, “You must work deeper. Until you remove the roots, the job isn’t finished.”</w:t>
      </w:r>
    </w:p>
    <w:p>
      <w:pPr>
        <w:keepNext/>
        <w:keepLines/>
        <w:spacing w:before="160"/>
      </w:pPr>
      <w:r>
        <w:rPr>
          <w:b/>
        </w:rPr>
        <w:t>Moral: Deal with the roots of a problem and a bad habit. Clearing away only what shows above the surface does not stop it from returning.</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 Out the Roots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