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Where Does Misfortune Come From?</w:t>
      </w:r>
    </w:p>
    <w:p>
      <w:pPr>
        <w:spacing w:after="80"/>
      </w:pPr>
      <w:r>
        <w:t>Someone asked a dervish:</w:t>
      </w:r>
    </w:p>
    <w:p>
      <w:pPr>
        <w:spacing w:after="80"/>
      </w:pPr>
      <w:r>
        <w:t>“Where does misfortune come from?”</w:t>
      </w:r>
    </w:p>
    <w:p>
      <w:pPr>
        <w:spacing w:after="80"/>
      </w:pPr>
      <w:r>
        <w:t>He replied:</w:t>
      </w:r>
    </w:p>
    <w:p>
      <w:pPr>
        <w:spacing w:after="80"/>
      </w:pPr>
      <w:r>
        <w:t>“Examine your eyes. Have you looked at what is forbidden?</w:t>
      </w:r>
    </w:p>
    <w:p>
      <w:pPr>
        <w:spacing w:after="80"/>
      </w:pPr>
      <w:r>
        <w:t>“Examine your tongue and ears. Have you spread or listened to gossip?</w:t>
      </w:r>
    </w:p>
    <w:p>
      <w:pPr>
        <w:spacing w:after="80"/>
      </w:pPr>
      <w:r>
        <w:t>“Examine your hands. Have you taken what is forbidden or earned your living dishonestly?</w:t>
      </w:r>
    </w:p>
    <w:p>
      <w:pPr>
        <w:keepNext/>
        <w:spacing w:after="80"/>
      </w:pPr>
      <w:r>
        <w:t>“Examine your feet. Have they carried you where you should not go?”</w:t>
      </w:r>
    </w:p>
    <w:p>
      <w:pPr>
        <w:keepNext/>
        <w:keepLines/>
        <w:spacing w:before="160"/>
      </w:pPr>
      <w:r>
        <w:rPr>
          <w:b/>
        </w:rPr>
        <w:t>Moral: The root of what happens to us can often be found in our own actions. Check your eyes, your tongue, your hands, and your steps.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Misfortune Begin?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