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Windmill Turning in Still Air</w:t>
      </w:r>
    </w:p>
    <w:p>
      <w:pPr>
        <w:spacing w:after="80"/>
      </w:pPr>
      <w:r>
        <w:t>If a windmill turns when the air is still, someone must be blowing on its sails.</w:t>
      </w:r>
    </w:p>
    <w:p>
      <w:pPr>
        <w:keepNext/>
        <w:spacing w:after="80"/>
      </w:pPr>
      <w:r>
        <w:t>Eskimo proverb</w:t>
      </w:r>
    </w:p>
    <w:p>
      <w:pPr>
        <w:keepNext/>
        <w:keepLines/>
        <w:spacing w:before="160"/>
      </w:pPr>
      <w:r>
        <w:rPr>
          <w:b/>
        </w:rPr>
        <w:t>Moral: Nothing happens without a cause. Even if we do not see the force behind an event, we can understand its effect from the result.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Windmill Turning in Still Air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