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BDA4" w14:textId="54732C5F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16" w:name="Story_17"/>
      <w:r>
        <w:rPr>
          <w:rFonts w:ascii="Arial" w:hAnsi="Arial"/>
          <w:b/>
          <w:color w:val="000000"/>
          <w:sz w:val="34"/>
          <w:lang w:val="ky-KG"/>
        </w:rPr>
        <w:t>Көзү бар сокурлар</w:t>
      </w:r>
      <w:bookmarkEnd w:id="10016"/>
    </w:p>
    <w:p w14:paraId="13C22DAF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Жер үстү көзү бар деп көрүп жатам деген сокурларга толгон.</w:t>
      </w:r>
    </w:p>
    <w:p w14:paraId="1B5F5796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Көрүү үчүн көз эле жетишсиз, көргөнүңдү аңдап түшүнүү да керек. Карап көрбөгөн, угуп түшүнбөгөн адам чыныгы сокур.</w:t>
      </w:r>
      <w:r>
        <w:rPr>
          <w:rFonts w:ascii="Arial" w:hAnsi="Arial"/>
          <w:color w:val="000000"/>
          <w:sz w:val="22"/>
          <w:lang w:val="ky-KG"/>
        </w:rPr>
      </w:r>
    </w:p>
    <w:p w14:paraId="33AFD422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