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31C5" w14:textId="3C70326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42" w:name="Story_43"/>
      <w:r>
        <w:rPr>
          <w:rFonts w:ascii="Arial" w:hAnsi="Arial"/>
          <w:b/>
          <w:color w:val="000000"/>
          <w:sz w:val="34"/>
          <w:lang w:val="ky-KG"/>
        </w:rPr>
        <w:t>Оозуңду ачпа</w:t>
      </w:r>
      <w:bookmarkEnd w:id="10042"/>
    </w:p>
    <w:p w14:paraId="0FFD0F0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Жакшы сөз айтпай турган болсоң, оозуңду такыр ачпа.</w:t>
      </w:r>
    </w:p>
    <w:p w14:paraId="7A370CE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Сөздүн күчү — аны орду менен жана жакшылык үчүн колдонууда. Айтаарлык сөзүң жок болсо, унчукпаган сөз катуураак сүйлөйт.</w:t>
      </w:r>
      <w:r>
        <w:rPr>
          <w:rFonts w:ascii="Arial" w:hAnsi="Arial"/>
          <w:color w:val="000000"/>
          <w:sz w:val="22"/>
          <w:lang w:val="ky-KG"/>
        </w:rPr>
      </w:r>
    </w:p>
    <w:p w14:paraId="2CF7206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