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987E" w14:textId="6E88FA6E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83" w:name="Story_84"/>
      <w:r>
        <w:rPr>
          <w:rFonts w:ascii="Arial" w:hAnsi="Arial"/>
          <w:b/>
          <w:color w:val="000000"/>
          <w:sz w:val="34"/>
          <w:lang w:val="ky-KG"/>
        </w:rPr>
        <w:t>Мынчалык аз бербейт эле</w:t>
      </w:r>
      <w:bookmarkEnd w:id="10083"/>
    </w:p>
    <w:p w14:paraId="7CE862E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падыша жолдо жолуккан сүйкүмдүү балага бир алтын тыйын берет, бирок бала аны албайт. Падыша эмне үчүн албаганын сураганда, бала мындай дейт:</w:t>
      </w:r>
    </w:p>
    <w:p w14:paraId="7A2659A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Үйгө барганда апам менен атам: «Бул акчаны кайдан уурдадың?» — деп сурашат.</w:t>
      </w:r>
    </w:p>
    <w:p w14:paraId="2C4A6F0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Сен болсо муну падыша берди деп айтасың, — дейт падыша.</w:t>
      </w:r>
    </w:p>
    <w:p w14:paraId="3E932AA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Анда такыр ишенишпейт. «Падыша бергенде, мынчалык аз бермек эмес», — дешет, — деп жооп берет бала.</w:t>
      </w:r>
    </w:p>
    <w:p w14:paraId="2ED815D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жооп падышага абдан жагып, ал балага бир мүшөк алтын берет.</w:t>
      </w:r>
    </w:p>
    <w:p w14:paraId="32CADCC1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Улуу иштер үй-бүлөдөн, туура тарбиядан башталат. Чынчыл өскөн бала эртең чынчыл адам болот.</w:t>
      </w:r>
      <w:r>
        <w:rPr>
          <w:rFonts w:ascii="Arial" w:hAnsi="Arial"/>
          <w:color w:val="000000"/>
          <w:sz w:val="22"/>
          <w:lang w:val="ky-KG"/>
        </w:rPr>
      </w:r>
    </w:p>
    <w:p w14:paraId="2B83B76C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