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3B69" w14:textId="617BF69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88" w:name="Story_89"/>
      <w:r>
        <w:rPr>
          <w:rFonts w:ascii="Arial" w:hAnsi="Arial"/>
          <w:b/>
          <w:color w:val="000000"/>
          <w:sz w:val="34"/>
          <w:lang w:val="ky-KG"/>
        </w:rPr>
        <w:t>Мекен жана топурак</w:t>
      </w:r>
      <w:bookmarkEnd w:id="10088"/>
    </w:p>
    <w:p w14:paraId="161A5C44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Топуракка суу кошсоң — ылай, кан кошсоң — Мекен болот.</w:t>
      </w:r>
    </w:p>
    <w:p w14:paraId="0C5258A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Топуракты Мекен кылган нерсе — ал үчүн төгүлгөн кан. Мекен жөн гана бир жер эмес, ал үчүн курмандыкка барган ыйык жерибиз.</w:t>
      </w:r>
      <w:r>
        <w:rPr>
          <w:rFonts w:ascii="Arial" w:hAnsi="Arial"/>
          <w:color w:val="000000"/>
          <w:sz w:val="22"/>
          <w:lang w:val="ky-KG"/>
        </w:rPr>
      </w:r>
    </w:p>
    <w:p w14:paraId="4E1F97C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