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596B0" w14:textId="2562D0A8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10" w:name="Story_111"/>
      <w:r>
        <w:rPr>
          <w:rFonts w:ascii="Arial" w:hAnsi="Arial"/>
          <w:b/>
          <w:color w:val="000000"/>
          <w:sz w:val="34"/>
          <w:lang w:val="ky-KG"/>
        </w:rPr>
        <w:t>Бекер</w:t>
      </w:r>
      <w:bookmarkEnd w:id="10110"/>
    </w:p>
    <w:p w14:paraId="493763E5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Акмакка насаат айтып, наадан менен талашып, эки жүздүү менен дос болуу — куру убара.</w:t>
      </w:r>
    </w:p>
    <w:p w14:paraId="6D0023C0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Наадан менен талашка, эки жүздүү менен достукка кеткен убакыт текке кетет. Ким менен убакыт өткөрүүнү тандасаң, өмүрүңдү кантип жашарыңды да тандайсың.</w:t>
      </w:r>
      <w:r>
        <w:rPr>
          <w:rFonts w:ascii="Arial" w:hAnsi="Arial"/>
          <w:color w:val="000000"/>
          <w:sz w:val="22"/>
          <w:lang w:val="ky-KG"/>
        </w:rPr>
      </w:r>
    </w:p>
    <w:p w14:paraId="39687B9B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