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9DAE2" w14:textId="78DEDE06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13" w:name="Story_114"/>
      <w:r>
        <w:rPr>
          <w:rFonts w:ascii="Arial" w:hAnsi="Arial"/>
          <w:b/>
          <w:color w:val="000000"/>
          <w:sz w:val="34"/>
          <w:lang w:val="ky-KG"/>
        </w:rPr>
        <w:t>Досуңду тааны</w:t>
      </w:r>
      <w:bookmarkEnd w:id="10113"/>
    </w:p>
    <w:p w14:paraId="119F2A66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Досуңду тааныгың келсе — аны кыйын абалда, кыйынчылыкта, чыр-чатакта сынап көр; анан дагы бир кызыкчылыгына тийип көрүп, ошондо ким экенин бил.</w:t>
      </w:r>
    </w:p>
    <w:p w14:paraId="222A359E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Дос кыйынчылыкта, оор учурда жана кызыкчылык сыноосунда таанылат. Жай күндө баары дос; чыныгы досту кыйынчылык ачып берет.</w:t>
      </w:r>
      <w:r>
        <w:rPr>
          <w:rFonts w:ascii="Arial" w:hAnsi="Arial"/>
          <w:color w:val="000000"/>
          <w:sz w:val="22"/>
          <w:lang w:val="ky-KG"/>
        </w:rPr>
      </w:r>
    </w:p>
    <w:p w14:paraId="4857A878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