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7E937" w14:textId="2C8AC942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18" w:name="Story_119"/>
      <w:r>
        <w:rPr>
          <w:rFonts w:ascii="Arial" w:hAnsi="Arial"/>
          <w:b/>
          <w:color w:val="000000"/>
          <w:sz w:val="34"/>
          <w:lang w:val="ky-KG"/>
        </w:rPr>
        <w:t>Турмуш сабагы</w:t>
      </w:r>
      <w:bookmarkEnd w:id="10118"/>
    </w:p>
    <w:p w14:paraId="1D1B8D3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Ата карышкыр бөлтүрүгүнө турмушту үйрөтүп жатып, койлорду көрсөтүп мындай дейт:</w:t>
      </w:r>
    </w:p>
    <w:p w14:paraId="450498A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Карачы, алардын эти даамдуу болот.</w:t>
      </w:r>
    </w:p>
    <w:p w14:paraId="5C60D7D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Андан соң койчуну көрсөтөт:</w:t>
      </w:r>
    </w:p>
    <w:p w14:paraId="0A45548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Анын таягы болсо ачуу тиет. Этият бол.</w:t>
      </w:r>
    </w:p>
    <w:p w14:paraId="20C7CD4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Бөлтүрүк койчунун жанындагы итти көрүп, сүйүнүп кетет:</w:t>
      </w:r>
    </w:p>
    <w:p w14:paraId="2C1BE72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Ата, карачы, тигил бизге окшош экен!</w:t>
      </w:r>
    </w:p>
    <w:p w14:paraId="457F976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Ата карышкыр жооп берет:</w:t>
      </w:r>
    </w:p>
    <w:p w14:paraId="4ADF9119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Аны көргөндө эле кач, балам. Бизге эң көп зыян келтиргендер — бизге окшошуп туруп, бизден болбогондор.</w:t>
      </w:r>
    </w:p>
    <w:p w14:paraId="7DCE47A4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Кээде эң чоң зыян бизге окшоп, бирок ниети башкалардан келет. Өзүңдү коргош үчүн сырткы окшоштукка алданба, эки жүздүүлүктү өз убагында сез.</w:t>
      </w:r>
      <w:r>
        <w:rPr>
          <w:rFonts w:ascii="Arial" w:hAnsi="Arial"/>
          <w:color w:val="000000"/>
          <w:sz w:val="22"/>
          <w:lang w:val="ky-KG"/>
        </w:rPr>
      </w:r>
    </w:p>
    <w:p w14:paraId="6D9F5D6E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