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07B2" w14:textId="04BDF303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26" w:name="Story_127"/>
      <w:r>
        <w:rPr>
          <w:rFonts w:ascii="Arial" w:hAnsi="Arial"/>
          <w:b/>
          <w:color w:val="000000"/>
          <w:sz w:val="34"/>
          <w:lang w:val="ky-KG"/>
        </w:rPr>
        <w:t>Жүзүңүздөн жылмаюу кетпесин</w:t>
      </w:r>
      <w:bookmarkEnd w:id="10126"/>
    </w:p>
    <w:p w14:paraId="15F60E5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Жүзү жайнап уксус саткан адамдын кардары кабагын бүркөп бал саткан кишиникинен көп болот.</w:t>
      </w:r>
    </w:p>
    <w:p w14:paraId="1B91CA3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Жылмайган адам кабак бүркөгөндөн көбүрөөк сүйүлөт. Жылмаюу чыгым талап кылбайт, бирок жүрөктөрдү багындырат.</w:t>
      </w:r>
      <w:r>
        <w:rPr>
          <w:rFonts w:ascii="Arial" w:hAnsi="Arial"/>
          <w:color w:val="000000"/>
          <w:sz w:val="22"/>
          <w:lang w:val="ky-KG"/>
        </w:rPr>
      </w:r>
    </w:p>
    <w:p w14:paraId="4306B3C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