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381E" w14:textId="2144A68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28" w:name="Story_129"/>
      <w:r>
        <w:rPr>
          <w:rFonts w:ascii="Arial" w:hAnsi="Arial"/>
          <w:b/>
          <w:color w:val="000000"/>
          <w:sz w:val="34"/>
          <w:lang w:val="ky-KG"/>
        </w:rPr>
        <w:t>Башкалардын жашоосуна кийлигишүү</w:t>
      </w:r>
      <w:bookmarkEnd w:id="10128"/>
    </w:p>
    <w:p w14:paraId="6BF7961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Кудай эч кимди башкалардын жашоосуна кийлигишкидей жумушсуз калтырбасын!</w:t>
      </w:r>
    </w:p>
    <w:p w14:paraId="144607DD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Суралбаган кеңеш кээде жардамдын ордуна жүк болот. Жакшылык кылам деп башканын жашоосуна кийлигишүү көбүнчө зыян алып келет.</w:t>
      </w:r>
      <w:r>
        <w:rPr>
          <w:rFonts w:ascii="Arial" w:hAnsi="Arial"/>
          <w:color w:val="000000"/>
          <w:sz w:val="22"/>
          <w:lang w:val="ky-KG"/>
        </w:rPr>
      </w:r>
    </w:p>
    <w:p w14:paraId="5DA8678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