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BD841" w14:textId="71E4137F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45" w:name="Story_146"/>
      <w:r>
        <w:rPr>
          <w:rFonts w:ascii="Arial" w:hAnsi="Arial"/>
          <w:b/>
          <w:color w:val="000000"/>
          <w:sz w:val="34"/>
          <w:lang w:val="ky-KG"/>
        </w:rPr>
        <w:t>Ар бир муңду адамдарга айта бербейт</w:t>
      </w:r>
      <w:bookmarkEnd w:id="10145"/>
    </w:p>
    <w:p w14:paraId="34D5860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Ар бир муңду адамдарга айта бербейт.</w:t>
      </w:r>
    </w:p>
    <w:p w14:paraId="7E84486E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Күн келет, ошол муңуң менен сени урат.</w:t>
      </w:r>
    </w:p>
    <w:p w14:paraId="33DBAE81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Сыр айтар адамыңды тандай бил. Ар кимге ачылган муң кийин өзүңө каршы колдонулушу мүмкүн.</w:t>
      </w:r>
      <w:r>
        <w:rPr>
          <w:rFonts w:ascii="Arial" w:hAnsi="Arial"/>
          <w:color w:val="000000"/>
          <w:sz w:val="22"/>
          <w:lang w:val="ky-KG"/>
        </w:rPr>
      </w:r>
    </w:p>
    <w:p w14:paraId="0DC25F29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