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B120" w14:textId="1315EBE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60" w:name="Story_161"/>
      <w:r>
        <w:rPr>
          <w:rFonts w:ascii="Arial" w:hAnsi="Arial"/>
          <w:b/>
          <w:color w:val="000000"/>
          <w:sz w:val="34"/>
          <w:lang w:val="ky-KG"/>
        </w:rPr>
        <w:t>Акыйкаттын кудурети</w:t>
      </w:r>
      <w:bookmarkEnd w:id="10160"/>
    </w:p>
    <w:p w14:paraId="7F828576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Акыйкаттын кылычы да ийилбейт, билеги да бүгүлбөйт.</w:t>
      </w:r>
    </w:p>
    <w:p w14:paraId="4D46EB0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Акыйкат ийилбейт, ага күч жетпейт. Убакыт өтөт, бийлик алмашат, акыры акыйкат кайра өз ордун табат.</w:t>
      </w:r>
      <w:r>
        <w:rPr>
          <w:rFonts w:ascii="Arial" w:hAnsi="Arial"/>
          <w:color w:val="000000"/>
          <w:sz w:val="22"/>
          <w:lang w:val="ky-KG"/>
        </w:rPr>
      </w:r>
    </w:p>
    <w:p w14:paraId="34B2C8B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