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3C0E" w14:textId="3564AF31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70" w:name="Story_171"/>
      <w:r>
        <w:rPr>
          <w:rFonts w:ascii="Arial" w:hAnsi="Arial"/>
          <w:b/>
          <w:color w:val="000000"/>
          <w:sz w:val="34"/>
          <w:lang w:val="ky-KG"/>
        </w:rPr>
        <w:t>Роза гүлү</w:t>
      </w:r>
      <w:bookmarkEnd w:id="10170"/>
    </w:p>
    <w:p w14:paraId="6C62BB83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Гүлдү ашыкча сугарсаң, чирийт; аз сугарсаң, куурайт; өлчөмү менен сугарсаң, жашайт.</w:t>
      </w:r>
    </w:p>
    <w:p w14:paraId="22C086E7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Сүйүүдө да, тарбияда да ченем негизги. Ашыкча кысым да, кайдыгерлик да эмес — ченемдүү камкордук жашоону сактайт.</w:t>
      </w:r>
      <w:r>
        <w:rPr>
          <w:rFonts w:ascii="Arial" w:hAnsi="Arial"/>
          <w:color w:val="000000"/>
          <w:sz w:val="22"/>
          <w:lang w:val="ky-KG"/>
        </w:rPr>
      </w:r>
    </w:p>
    <w:p w14:paraId="4F041E90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