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07AD" w14:textId="406C6CA9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74" w:name="Story_175"/>
      <w:r>
        <w:rPr>
          <w:rFonts w:ascii="Arial" w:hAnsi="Arial"/>
          <w:b/>
          <w:color w:val="000000"/>
          <w:sz w:val="34"/>
          <w:lang w:val="ky-KG"/>
        </w:rPr>
        <w:t>Сөздү орду менен айтуу</w:t>
      </w:r>
      <w:bookmarkEnd w:id="10174"/>
    </w:p>
    <w:p w14:paraId="6C4BA625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Сөздү орду менен айта билген адам кийин кечирим суроого аргасыз болбойт.</w:t>
      </w:r>
    </w:p>
    <w:p w14:paraId="2D31C4F7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Айтар сөзүңдү мурунтан таразала, кийин кечирим сурабайсың. Сөз орду жана учуру менен айтылганда баалуу.</w:t>
      </w:r>
      <w:r>
        <w:rPr>
          <w:rFonts w:ascii="Arial" w:hAnsi="Arial"/>
          <w:color w:val="000000"/>
          <w:sz w:val="22"/>
          <w:lang w:val="ky-KG"/>
        </w:rPr>
      </w:r>
    </w:p>
    <w:p w14:paraId="695E0461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