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EB8C" w14:textId="218C40AA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6" w:name="Story_187"/>
      <w:r>
        <w:rPr>
          <w:rFonts w:ascii="Arial" w:hAnsi="Arial"/>
          <w:b/>
          <w:color w:val="000000"/>
          <w:sz w:val="34"/>
          <w:lang w:val="ky-KG"/>
        </w:rPr>
        <w:t>Бош убакыт</w:t>
      </w:r>
      <w:bookmarkEnd w:id="10186"/>
    </w:p>
    <w:p w14:paraId="4882A7E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Айрымдар бош убактысы болгондо сиз менен сүйлөшөт, ал эми айрымдар сиз менен сүйлөшүү үчүн атайын убакыт бөлөт.</w:t>
      </w:r>
    </w:p>
    <w:p w14:paraId="576F2A2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Убакыт — кайра кайтпаган жалгыз байлык. Аны сага ыктыярдуу сарптаган адамдын кадырын бил.</w:t>
      </w:r>
      <w:r>
        <w:rPr>
          <w:rFonts w:ascii="Arial" w:hAnsi="Arial"/>
          <w:color w:val="000000"/>
          <w:sz w:val="22"/>
          <w:lang w:val="ky-KG"/>
        </w:rPr>
      </w:r>
    </w:p>
    <w:p w14:paraId="5EB0AB4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