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3A2C" w14:textId="4860834C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04" w:name="Story_205"/>
      <w:r>
        <w:rPr>
          <w:rFonts w:ascii="Arial" w:hAnsi="Arial"/>
          <w:b/>
          <w:color w:val="000000"/>
          <w:sz w:val="34"/>
          <w:lang w:val="ky-KG"/>
        </w:rPr>
        <w:t>Салкын кандуу болуу</w:t>
      </w:r>
      <w:bookmarkEnd w:id="10204"/>
    </w:p>
    <w:p w14:paraId="2CCB8418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Туш болгон абалды дүрбөлөңгө түшпөй, сабыр менен баалаңыз. Ошондо туура чечим кабыл алып, жагдайды өз пайдаңызга бура аласыз.</w:t>
      </w:r>
    </w:p>
    <w:p w14:paraId="16975DDE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Эң туура чечим дүрбөлөңдө эмес, сабырдуу акыл менен кабыл алынат. Сабырдуулук кыйын абалды да өз пайдаңа бура алат.</w:t>
      </w:r>
      <w:r>
        <w:rPr>
          <w:rFonts w:ascii="Arial" w:hAnsi="Arial"/>
          <w:color w:val="000000"/>
          <w:sz w:val="22"/>
          <w:lang w:val="ky-KG"/>
        </w:rPr>
      </w:r>
    </w:p>
    <w:p w14:paraId="47F8DC9F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