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E117" w14:textId="48B7E94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12" w:name="Story_213"/>
      <w:r>
        <w:rPr>
          <w:rFonts w:ascii="Arial" w:hAnsi="Arial"/>
          <w:b/>
          <w:color w:val="000000"/>
          <w:sz w:val="34"/>
          <w:lang w:val="ky-KG"/>
        </w:rPr>
        <w:t>Тил</w:t>
      </w:r>
      <w:bookmarkEnd w:id="10212"/>
    </w:p>
    <w:p w14:paraId="536CECC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Тил — ооздо өскөн бир гүл,</w:t>
      </w:r>
    </w:p>
    <w:p w14:paraId="14C59FD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Сугарып бакпасаң, соолуйт бир күн.</w:t>
      </w:r>
    </w:p>
    <w:p w14:paraId="7C91980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Тил корголбосо, сугарылбаган гүл сыяктуу соолуп жок болот. Эне тилин жашатуу — аны күн сайын сүйүп колдонуу.</w:t>
      </w:r>
      <w:r>
        <w:rPr>
          <w:rFonts w:ascii="Arial" w:hAnsi="Arial"/>
          <w:color w:val="000000"/>
          <w:sz w:val="22"/>
          <w:lang w:val="ky-KG"/>
        </w:rPr>
      </w:r>
    </w:p>
    <w:p w14:paraId="788222B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