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Избегайте этих вопросов</w:t>
      </w:r>
    </w:p>
    <w:p>
      <w:pPr/>
      <w:r>
        <w:t>Не спрашивайте безработного: «Ты всё ещё без работы?», работающего: «Сколько ты получаешь?», бездетного: «У вас до сих пор нет детей?», а неженатого или незамужнюю: «Когда ты женишься или выйдешь замуж?»</w:t>
      </w:r>
    </w:p>
    <w:p>
      <w:pPr>
        <w:keepNext/>
      </w:pPr>
      <w:r>
        <w:t>Не ставьте человека в неловкое положение вопросом: «Неужели ты этого не знал?» Вопрос, который кажется нам обычным, может задеть чужую незажившую рану.</w:t>
      </w:r>
    </w:p>
    <w:p>
      <w:pPr>
        <w:keepNext/>
        <w:keepLines/>
        <w:spacing w:before="160"/>
      </w:pPr>
      <w:r>
        <w:rPr>
          <w:b/>
        </w:rPr>
        <w:t>Мораль: Некоторые вопросы больно ранят. Порой, удержавшись от бестактного вопроса, мы избавляем человека от лишних переживаний.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Избегайте этих вопросов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