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Трудности и благословения</w:t>
      </w:r>
    </w:p>
    <w:p>
      <w:pPr>
        <w:spacing w:after="80"/>
      </w:pPr>
      <w:r>
        <w:t>Если трудности приближают вас к Аллаху, это благословение.</w:t>
      </w:r>
    </w:p>
    <w:p>
      <w:pPr>
        <w:keepNext/>
        <w:spacing w:after="80"/>
      </w:pPr>
      <w:r>
        <w:t>Если благословение отдаляет вас от Аллаха, это беда.</w:t>
      </w:r>
    </w:p>
    <w:p>
      <w:pPr>
        <w:keepNext/>
        <w:keepLines/>
        <w:spacing w:before="160"/>
      </w:pPr>
      <w:r>
        <w:rPr>
          <w:b/>
        </w:rPr>
        <w:t>Мораль: Беда, приближающая к Аллаху, оборачивается благом, а благо, отдаляющее от Него, — бедой. Важно не то, насколько легко тебе живётся, а куда ведёт твой путь.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Трудности и благословения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