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Как выражают свою боль</w:t>
      </w:r>
    </w:p>
    <w:p>
      <w:pPr>
        <w:keepNext/>
      </w:pPr>
      <w:r>
        <w:t>Кто просто рассказывает о своей боли — страдающий; кто выражает её красивыми словами — литератор; кто передаёт её своим состоянием — влюблённый; кто скрывает её улыбкой — мудрец.</w:t>
      </w:r>
    </w:p>
    <w:p>
      <w:pPr>
        <w:keepNext/>
        <w:keepLines/>
        <w:spacing w:before="160"/>
      </w:pPr>
      <w:r>
        <w:rPr>
          <w:b/>
        </w:rPr>
        <w:t>Мораль: Человек по-разному несёт свою скорбь: кто-то говорит, кто-то пишет, кто-то молчит и улыбается. Самая глубокая боль чаще всего скрыта в самой глубокой тишине.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мы говорим о своей боли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