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Праздничный подарок</w:t>
      </w:r>
    </w:p>
    <w:p>
      <w:pPr>
        <w:spacing w:after="80"/>
      </w:pPr>
      <w:r>
        <w:t>— Почтенный старец, — спросил я, — что мне купить к празднику?</w:t>
      </w:r>
    </w:p>
    <w:p>
      <w:pPr>
        <w:spacing w:after="80"/>
      </w:pPr>
      <w:r>
        <w:t>Он ответил:</w:t>
      </w:r>
    </w:p>
    <w:p>
      <w:pPr>
        <w:keepNext/>
      </w:pPr>
      <w:r>
        <w:t>— Порадуй нескольких человек. Подари детям улыбку. А если сможешь, помоги нуждающимся так, чтобы они помянули тебя в молитве.</w:t>
      </w:r>
    </w:p>
    <w:p>
      <w:pPr>
        <w:keepNext/>
        <w:keepLines/>
        <w:spacing w:before="160"/>
      </w:pPr>
      <w:r>
        <w:rPr>
          <w:b/>
        </w:rPr>
        <w:t>Мораль: Самый ценный подарок измеряется не деньгами, а сердечностью и вниманием. Настоящим праздником день делает порой не то, что ты купил, а то, что отдал другим.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Праздничный подарок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