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Познай своего друга</w:t>
      </w:r>
    </w:p>
    <w:p>
      <w:pPr>
        <w:keepNext/>
      </w:pPr>
      <w:r>
        <w:t>Хочешь узнать друга — посмотри, как он ведёт себя в беде, в ссоре и в трудную минуту. А потом затронь его выгоду — и тогда посмотри.</w:t>
      </w:r>
    </w:p>
    <w:p>
      <w:pPr>
        <w:keepNext/>
        <w:keepLines/>
        <w:spacing w:before="160"/>
      </w:pPr>
      <w:r>
        <w:rPr>
          <w:b/>
        </w:rPr>
        <w:t>Мораль: Друг познаётся в беде, в нужде и когда затронута его выгода. В лёгкий день все друзья; истинного друга выявляет трудность.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Познай своего друга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