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Халяльный кусок</w:t>
      </w:r>
    </w:p>
    <w:p>
      <w:pPr/>
      <w:r>
        <w:t>Даже если мука свежая, а вода чистая, из испорченной закваски хорошего теста не получится; из такого теста не выйдет и доброго хлеба.</w:t>
      </w:r>
    </w:p>
    <w:p>
      <w:pPr/>
      <w:r>
        <w:t>Чтобы воспитать ребёнка с благородным характером, его следует кормить дозволенным куском.</w:t>
      </w:r>
    </w:p>
    <w:p>
      <w:pPr>
        <w:keepNext/>
        <w:spacing w:after="80"/>
      </w:pPr>
      <w:r>
        <w:t>— Имам аль-Газали</w:t>
      </w:r>
    </w:p>
    <w:p>
      <w:pPr>
        <w:keepNext/>
        <w:keepLines/>
        <w:spacing w:before="160"/>
      </w:pPr>
      <w:r>
        <w:rPr>
          <w:b/>
        </w:rPr>
        <w:t>Мораль: Нравственное воспитание ребёнка начинается с куска, который кладут ему на стол. Дозволенный заработок и чистое пропитание — основа здравой нравственности.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Халяльная пища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