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Нет такого, что «я потерял»</w:t>
      </w:r>
    </w:p>
    <w:p>
      <w:pPr>
        <w:keepNext/>
        <w:spacing w:after="80"/>
      </w:pPr>
      <w:r>
        <w:t>Не видьте в жизни только потерю. Есть и успехи, которых вы добились, и уроки, которые вы извлекли из неудач.</w:t>
      </w:r>
    </w:p>
    <w:p>
      <w:pPr>
        <w:keepNext/>
        <w:keepLines/>
        <w:spacing w:before="160"/>
      </w:pPr>
      <w:r>
        <w:rPr>
          <w:b/>
        </w:rPr>
        <w:t>Мораль: Понятия «проигрыш» не существует — ты либо побеждаешь, либо учишься. Каждая неудача — это, по сути, урок.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Ничто не теряется навсегда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