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Расскажите, что знаете</w:t>
      </w:r>
    </w:p>
    <w:p>
      <w:pPr>
        <w:spacing w:after="80"/>
      </w:pPr>
      <w:r>
        <w:t>Делись знаниями, но не поучай свысока. Слушай внимательно, но не принимай на веру всё услышанное.</w:t>
      </w:r>
    </w:p>
    <w:p>
      <w:pPr>
        <w:keepNext/>
      </w:pPr>
      <w:r>
        <w:t>Так же, как молчание не означает, что вы ничего не знаете, слишком много говорить не означает, что вы много знаете. Глупо унижать человека, а чрезмерно восхвалять его — трусость.</w:t>
      </w:r>
    </w:p>
    <w:p>
      <w:pPr>
        <w:keepNext/>
        <w:keepLines/>
        <w:spacing w:before="160"/>
      </w:pPr>
      <w:r>
        <w:rPr>
          <w:b/>
        </w:rPr>
        <w:t>Мораль: Умей говорить, слушать и вовремя молчать. Не унижай человека и не возводи на пьедестал — старайся видеть его таким, каков он есть.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Расскажите, что знаете.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