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Искать</w:t>
      </w:r>
    </w:p>
    <w:p>
      <w:pPr>
        <w:keepNext/>
      </w:pPr>
      <w:r>
        <w:t>Искать что-то там, где его нет, — это не поиск, а самообман, как искать верность в неверном, благовоспитанность в бесстыдном и милосердие в бессовестном.</w:t>
      </w:r>
    </w:p>
    <w:p>
      <w:pPr>
        <w:keepNext/>
        <w:keepLines/>
        <w:spacing w:before="160"/>
      </w:pPr>
      <w:r>
        <w:rPr>
          <w:b/>
        </w:rPr>
        <w:t>Мораль: Ждать от человека того, чего в нём нет, — значит обманывать себя. Не жди от каждого всего и узнавай человека таким, каков он есть.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Искать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