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Молчание</w:t>
      </w:r>
    </w:p>
    <w:p>
      <w:pPr>
        <w:spacing w:after="80"/>
      </w:pPr>
      <w:r>
        <w:t>Ответ на некоторые вопросы — молчание.</w:t>
      </w:r>
    </w:p>
    <w:p>
      <w:pPr>
        <w:spacing w:after="80"/>
      </w:pPr>
      <w:r>
        <w:t>Либо сейчас не время для ответа,</w:t>
      </w:r>
    </w:p>
    <w:p>
      <w:pPr>
        <w:spacing w:after="80"/>
      </w:pPr>
      <w:r>
        <w:t>либо собеседник не заслуживает ответа!</w:t>
      </w:r>
    </w:p>
    <w:p>
      <w:pPr>
        <w:spacing w:after="80"/>
      </w:pPr>
      <w:r>
        <w:t>* * *</w:t>
      </w:r>
    </w:p>
    <w:p>
      <w:pPr>
        <w:keepNext/>
        <w:spacing w:after="80"/>
      </w:pPr>
      <w:r>
        <w:t>Дарвиш Джалал Рухави</w:t>
      </w:r>
    </w:p>
    <w:p>
      <w:pPr>
        <w:keepNext/>
        <w:keepLines/>
        <w:spacing w:before="160"/>
      </w:pPr>
      <w:r>
        <w:rPr>
          <w:b/>
        </w:rPr>
        <w:t>Мораль: Не на каждый вопрос нужно отвечать. Иногда ещё не пришло время для ответа. А иногда тот, кто перед тобой, не достоин ответа.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Молчание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