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Сохраняйте хладнокровие</w:t>
      </w:r>
    </w:p>
    <w:p>
      <w:pPr>
        <w:keepNext/>
      </w:pPr>
      <w:r>
        <w:t>Оцените положение, в которое вы попали, спокойно и не поддаваясь панике. Так легче принять разумное решение и изменить положение в свою пользу.</w:t>
      </w:r>
    </w:p>
    <w:p>
      <w:pPr>
        <w:keepNext/>
        <w:keepLines/>
        <w:spacing w:before="160"/>
      </w:pPr>
      <w:r>
        <w:rPr>
          <w:b/>
        </w:rPr>
        <w:t>Мораль: Лучшее решение принимается спокойным умом, а не в панике. Хладнокровие может превратить даже сложную ситуацию в благоприятную.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Сохраняйте хладнокровие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