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Быть сытым или исчезнуть</w:t>
      </w:r>
    </w:p>
    <w:p>
      <w:pPr>
        <w:spacing w:after="80"/>
      </w:pPr>
      <w:r>
        <w:t>Мы наполняемся, делясь,</w:t>
      </w:r>
    </w:p>
    <w:p>
      <w:pPr>
        <w:spacing w:after="80"/>
      </w:pPr>
      <w:r>
        <w:t>Разделяясь, мы исчезаем.</w:t>
      </w:r>
    </w:p>
    <w:p>
      <w:pPr>
        <w:keepNext/>
        <w:spacing w:after="80"/>
      </w:pPr>
      <w:r>
        <w:t>Юнус Эмре</w:t>
      </w:r>
    </w:p>
    <w:p>
      <w:pPr>
        <w:keepNext/>
        <w:keepLines/>
        <w:spacing w:before="160"/>
      </w:pPr>
      <w:r>
        <w:rPr>
          <w:b/>
        </w:rPr>
        <w:t>Мораль: Делясь, мы становимся сильнее; разделяясь — слабеем и исчезаем. Чтобы сохранить единство, нужно умножать знание и высоко держать духовность.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Делиться или разделяться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