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Мечты</w:t>
      </w:r>
    </w:p>
    <w:p>
      <w:pPr>
        <w:keepNext/>
        <w:spacing w:after="80"/>
      </w:pPr>
      <w:r>
        <w:t>Аллах не заставляет вас мечтать о том, чего Он не исполнит.</w:t>
      </w:r>
    </w:p>
    <w:p>
      <w:pPr>
        <w:keepNext/>
        <w:keepLines/>
        <w:spacing w:before="160"/>
      </w:pPr>
      <w:r>
        <w:rPr>
          <w:b/>
        </w:rPr>
        <w:t>Мораль: У каждой мечты, что ложится на сердце, есть смысл. Аллах не вложит в сердце желание, которого не дарует, — не теряй надежды.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Мечты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