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Откуда берется несчастье?</w:t>
      </w:r>
    </w:p>
    <w:p>
      <w:pPr>
        <w:spacing w:after="80"/>
      </w:pPr>
      <w:r>
        <w:t>Дервиша спрашивают:</w:t>
      </w:r>
    </w:p>
    <w:p>
      <w:pPr>
        <w:spacing w:after="80"/>
      </w:pPr>
      <w:r>
        <w:t>— Откуда берется несчастье?</w:t>
      </w:r>
    </w:p>
    <w:p>
      <w:pPr>
        <w:spacing w:after="80"/>
      </w:pPr>
      <w:r>
        <w:t>Дервиш отвечает:</w:t>
      </w:r>
    </w:p>
    <w:p>
      <w:pPr>
        <w:spacing w:after="80"/>
      </w:pPr>
      <w:r>
        <w:t>— Проверьте свои глаза, смотрели ли вы на запретное?</w:t>
      </w:r>
    </w:p>
    <w:p>
      <w:pPr>
        <w:spacing w:after="80"/>
      </w:pPr>
      <w:r>
        <w:t>— Присмотритесь к своему языку и слуху: не распространяли ли вы сплетни и не слушали ли злословие?</w:t>
      </w:r>
    </w:p>
    <w:p>
      <w:pPr/>
      <w:r>
        <w:t>— Проверьте свои руки, не тянулись ли вы к запретному и не добавили ли чего-нибудь запретного к своему заработку?</w:t>
      </w:r>
    </w:p>
    <w:p>
      <w:pPr>
        <w:keepNext/>
        <w:spacing w:after="80"/>
      </w:pPr>
      <w:r>
        <w:t>— Проверьте свои ноги, не ходили ли вы туда, куда не следовало ходить?</w:t>
      </w:r>
    </w:p>
    <w:p>
      <w:pPr>
        <w:keepNext/>
        <w:keepLines/>
        <w:spacing w:before="160"/>
      </w:pPr>
      <w:r>
        <w:rPr>
          <w:b/>
        </w:rPr>
        <w:t>Мораль: Корень того, что с нами происходит, часто кроется в наших собственных действиях. Проверьте свои глаза, свой язык, свои руки и свои шаги.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Откуда берется несчастье?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