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Щедрый человек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Однажды щедрого человека спросили: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Ожидаешь ли ты, что бедняки будут благодарны тебе за всё, чем ты с ними делишься?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Он ответил: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Я подобен половнику в руках повара. Хотя пищу раздают с помощью половника, даёт её не половник, а повар.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>Мораль: Совершая добро, человек не должен считать себя истинным владельцем того, чем делится. Он лишь посредник; подлинный Дарующий — Аллах.</w:t>
      </w:r>
      <w:r>
        <w:rPr>
          <w:rFonts w:ascii="Arial" w:hAnsi="Arial" w:eastAsia="Arial" w:cs="Arial"/>
          <w:b w:val="0"/>
          <w:i w:val="0"/>
          <w:color w:val="3F3826"/>
          <w:sz w:val="22"/>
        </w:rPr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«История взята из открытых источников Интернета.»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Щедрый человек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