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Chief Accountant and the CEO</w:t>
      </w:r>
    </w:p>
    <w:p>
      <w:pPr>
        <w:spacing w:after="80"/>
      </w:pPr>
      <w:r>
        <w:t>The chief accountant asked the CEO:</w:t>
      </w:r>
    </w:p>
    <w:p>
      <w:pPr>
        <w:spacing w:after="80"/>
      </w:pPr>
      <w:r>
        <w:t>“What if we spend time and money training our employees, and then they leave?”</w:t>
      </w:r>
    </w:p>
    <w:p>
      <w:pPr>
        <w:spacing w:after="80"/>
      </w:pPr>
      <w:r>
        <w:t>The CEO replied:</w:t>
      </w:r>
    </w:p>
    <w:p>
      <w:pPr>
        <w:keepNext/>
        <w:spacing w:after="80"/>
      </w:pPr>
      <w:r>
        <w:t>“What if we don’t train them, and they stay?”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Investing in people is not a waste. Saving a little on their development today can lead to a much greater loss tomorrow.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Chief Accountant and the CEO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