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Dervish’s Appearance</w:t>
      </w:r>
    </w:p>
    <w:p>
      <w:pPr>
        <w:spacing w:after="80"/>
      </w:pPr>
      <w:r>
        <w:t>A dervish was once asked:</w:t>
      </w:r>
    </w:p>
    <w:p>
      <w:pPr>
        <w:spacing w:after="80"/>
      </w:pPr>
      <w:r>
        <w:t>“Why are your clothes so untidy?”</w:t>
      </w:r>
    </w:p>
    <w:p>
      <w:pPr>
        <w:spacing w:after="80"/>
      </w:pPr>
      <w:r>
        <w:t>He replied:</w:t>
      </w:r>
    </w:p>
    <w:p>
      <w:pPr>
        <w:keepNext/>
      </w:pPr>
      <w:r>
        <w:t>“I spend so much time working on my inner self that I have little time left to worry about my appearance.”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A person who cultivates the inner life does not judge worth by outward appearance. What truly makes a person beautiful is not clothing, but a pure heart and a luminous spirit.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Dervish’s Appearance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