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 Mindful of What You Say</w:t>
      </w:r>
    </w:p>
    <w:p>
      <w:pPr>
        <w:keepNext/>
      </w:pPr>
      <w:r>
        <w:t>Do not dwell on your wealth in front of someone who is poor, your health in front of someone who is ill, or your happiness in front of someone who is suffering. Be equally thoughtful when speaking of freedom to a prisoner, strength to someone who is weak, children to someone who has none, or parents to an orphan.</w:t>
      </w:r>
    </w:p>
    <w:p>
      <w:pPr>
        <w:keepNext/>
        <w:keepLines/>
        <w:spacing w:before="160"/>
      </w:pPr>
      <w:r>
        <w:rPr>
          <w:b/>
        </w:rPr>
        <w:t>Moral:</w:t>
      </w:r>
      <w:r>
        <w:t xml:space="preserve"> Be careful not to deepen another person’s sense of loss. They need understanding, not reminders of what they lack.</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Mindful of What You Say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