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Sherbet of Martyrdom</w:t>
      </w:r>
    </w:p>
    <w:p>
      <w:pPr>
        <w:keepNext/>
      </w:pPr>
      <w:r>
        <w:t>According to this account, mortally wounded soldiers in Ottoman times were given sherbet made with Zamzam water, carried in small barrels, to sweeten their mouths before death. This is said to be the origin of the expression “drinking the sherbet of martyrdom.”</w:t>
      </w:r>
    </w:p>
    <w:p>
      <w:pPr>
        <w:keepNext/>
        <w:keepLines/>
        <w:spacing w:before="160"/>
      </w:pPr>
      <w:r>
        <w:rPr>
          <w:b/>
        </w:rPr>
        <w:t>Moral:</w:t>
      </w:r>
      <w:r>
        <w:t xml:space="preserve"> An expression can carry a history of sacrifice. The words we use preserve memories of the past.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Sherbet of Martyrdom</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