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Everyone Has Work to Do</w:t>
      </w:r>
    </w:p>
    <w:p>
      <w:pPr/>
      <w:r>
        <w:t>I have been fortunate to learn from wise teachers. One was my literature teacher, the esteemed Baladadash. He taught us never to leave a request or an assigned task unanswered, however small it might seem.</w:t>
      </w:r>
    </w:p>
    <w:p>
      <w:pPr>
        <w:keepNext/>
      </w:pPr>
      <w:r>
        <w:t>Everyone has things to do. When someone asks for help, it is usually because they need you, not because they have nothing better to do. Do not leave them waiting in silence. If you cannot help, say so openly. Failing to answer erodes their trust.</w:t>
      </w:r>
    </w:p>
    <w:p>
      <w:pPr>
        <w:keepLines/>
        <w:spacing w:before="160"/>
      </w:pPr>
      <w:r>
        <w:rPr>
          <w:b/>
        </w:rPr>
        <w:t>Moral:</w:t>
      </w:r>
      <w:r>
        <w:t xml:space="preserve"> It is a very painful feeling to live knowing you are regarded as unreliable and untrustworthy.</w:t>
      </w:r>
    </w:p>
    <w:p>
      <w:pPr>
        <w:spacing w:after="80"/>
      </w:pPr>
      <w:r>
        <w:t>Bakhtiyar Sirajov.</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Everyone Has Work to Do</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