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Father’s Footsteps</w:t>
      </w:r>
    </w:p>
    <w:p>
      <w:pPr>
        <w:spacing w:after="80"/>
      </w:pPr>
      <w:r>
        <w:t>A father said to his son:</w:t>
      </w:r>
    </w:p>
    <w:p>
      <w:pPr>
        <w:spacing w:after="80"/>
      </w:pPr>
      <w:r>
        <w:t>“Son, watch your step carefully.”</w:t>
      </w:r>
    </w:p>
    <w:p>
      <w:pPr>
        <w:spacing w:after="80"/>
      </w:pPr>
      <w:r>
        <w:t>The boy replied:</w:t>
      </w:r>
    </w:p>
    <w:p>
      <w:pPr>
        <w:keepNext/>
        <w:spacing w:after="80"/>
      </w:pPr>
      <w:r>
        <w:t>“You’d better watch yours, Dad. I’m following in your footsteps.”</w:t>
      </w:r>
    </w:p>
    <w:p>
      <w:pPr>
        <w:keepNext/>
        <w:keepLines/>
        <w:spacing w:before="160"/>
      </w:pPr>
      <w:r>
        <w:rPr>
          <w:b/>
        </w:rPr>
        <w:t>Moral:</w:t>
      </w:r>
      <w:r>
        <w:t xml:space="preserve"> The most powerful form of guidance is personal example. Children often imitate not what adults say, but the steps they take.</w:t>
      </w:r>
    </w:p>
    <w:p>
      <w:pPr>
        <w:spacing w:after="80"/>
      </w:pPr>
      <w:r>
        <w:rPr>
          <w:i/>
          <w:sz w:val="18"/>
        </w:rPr>
        <w:t>Source: Publicly available internet sources.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Father’s Footsteps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