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Generous Man</w:t>
      </w:r>
    </w:p>
    <w:p>
      <w:pPr>
        <w:spacing w:after="80"/>
      </w:pPr>
      <w:r>
        <w:t>A generous man was once asked:</w:t>
      </w:r>
    </w:p>
    <w:p>
      <w:pPr>
        <w:spacing w:after="80"/>
      </w:pPr>
      <w:r>
        <w:t>“Do you expect the poor to be grateful to you for everything you share with them?”</w:t>
      </w:r>
    </w:p>
    <w:p>
      <w:pPr>
        <w:spacing w:after="80"/>
      </w:pPr>
      <w:r>
        <w:t>He replied:</w:t>
      </w:r>
    </w:p>
    <w:p>
      <w:pPr>
        <w:keepNext/>
        <w:spacing w:after="80"/>
      </w:pPr>
      <w:r>
        <w:t>“I am like a ladle in a cook’s hand. The ladle serves the food, but the gift comes from the cook.”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Those who do good should not consider themselves the true owners of what they give. They are only instruments; the true Giver is Allah.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Generous Man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