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Come Again Soon</w:t>
      </w:r>
    </w:p>
    <w:p>
      <w:pPr>
        <w:keepNext/>
      </w:pPr>
      <w:r>
        <w:t>In an Ottoman custom, a host placed a departing guest’s shoes at the door with their toes pointing into the house. Putting them on turned the guest back toward the home, as though returning. The gesture meant, “Go safely, and come again.”</w:t>
      </w:r>
    </w:p>
    <w:p>
      <w:pPr>
        <w:keepNext/>
        <w:keepLines/>
        <w:spacing w:before="160"/>
      </w:pPr>
      <w:r>
        <w:rPr>
          <w:b/>
        </w:rPr>
        <w:t>Moral:</w:t>
      </w:r>
      <w:r>
        <w:t xml:space="preserve"> A subtle gesture can convey great kindness. The value given to a person is often seen in small moments.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Again Soon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