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 Want a Friend</w:t>
      </w:r>
    </w:p>
    <w:p>
      <w:pPr>
        <w:spacing w:after="80"/>
      </w:pPr>
      <w:r>
        <w:t>I want neither wealth nor possessions,</w:t>
      </w:r>
    </w:p>
    <w:p>
      <w:pPr>
        <w:spacing w:after="80"/>
      </w:pPr>
      <w:r>
        <w:t>I want a true friend.</w:t>
      </w:r>
    </w:p>
    <w:p>
      <w:pPr>
        <w:spacing w:after="80"/>
      </w:pPr>
      <w:r>
        <w:t>What possession will mourn its owner after death?</w:t>
      </w:r>
    </w:p>
    <w:p>
      <w:pPr>
        <w:keepNext/>
        <w:spacing w:after="80"/>
      </w:pPr>
      <w:r>
        <w:t>I want a friend who will remember me with love.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loyal friend is a greater treasure than any possession. Friendship can keep our memory alive after we are gone.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 Want a Friend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