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If Fate Allows</w:t>
      </w:r>
    </w:p>
    <w:p>
      <w:pPr/>
      <w:r>
        <w:t>Someone who used to say, “We’ll meet soon,” now says, “We’ll meet if fate allows.” I find that strange. My feelings toward him have not changed; I would still be delighted to see him. Yet those words seem to place a barrier between us. I know nothing of his fate, and he knows nothing of mine. Do our two fates know each other? Can they arrange a meeting on our behalf?</w:t>
      </w:r>
    </w:p>
    <w:p>
      <w:pPr/>
      <w:r>
        <w:t>Perhaps fate has nothing to do with it. Perhaps this is simply another way of saying, “Out of sight, out of mind.”</w:t>
      </w:r>
    </w:p>
    <w:p>
      <w:pPr>
        <w:keepNext/>
        <w:spacing w:after="80"/>
      </w:pPr>
      <w:r>
        <w:t>I have never liked the phrase “if fate allows.”</w:t>
      </w:r>
    </w:p>
    <w:p>
      <w:pPr>
        <w:keepLines/>
        <w:spacing w:before="160"/>
      </w:pPr>
      <w:r>
        <w:rPr>
          <w:b/>
        </w:rPr>
        <w:t>Moral:</w:t>
      </w:r>
      <w:r>
        <w:t xml:space="preserve"> Do not let distance grow between you and those you care about. Instead of leaving a meeting to fate, make time for one another.</w:t>
      </w:r>
    </w:p>
    <w:p>
      <w:pPr>
        <w:spacing w:after="80"/>
      </w:pPr>
      <w:r>
        <w:t>Bakhtiyar Sirajov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If Fate Allows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