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 Your Friend</w:t>
      </w:r>
    </w:p>
    <w:p>
      <w:pPr>
        <w:keepNext/>
      </w:pPr>
      <w:r>
        <w:t>To know a friend’s character, watch how they face trouble, hardship, and disagreement. Then see how they act when their own interests are at stake.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friend is known in trouble, in hardship, and in the test of advantage. Everyone is a friend in good times; a true friend is revealed in adversity.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 Your Friend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